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7FAC6" w14:textId="77777777" w:rsidR="004A0416" w:rsidRDefault="004A0416">
      <w:pPr>
        <w:pStyle w:val="BodyText"/>
        <w:spacing w:before="5"/>
        <w:rPr>
          <w:rFonts w:ascii="Times New Roman"/>
          <w:sz w:val="14"/>
        </w:rPr>
      </w:pPr>
    </w:p>
    <w:p w14:paraId="726C7E47" w14:textId="77777777" w:rsidR="004A0416" w:rsidRDefault="00223038">
      <w:pPr>
        <w:pStyle w:val="BodyText"/>
        <w:spacing w:before="56"/>
        <w:ind w:left="113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 wp14:anchorId="4251904E" wp14:editId="4E19DA79">
            <wp:simplePos x="0" y="0"/>
            <wp:positionH relativeFrom="page">
              <wp:posOffset>4996179</wp:posOffset>
            </wp:positionH>
            <wp:positionV relativeFrom="paragraph">
              <wp:posOffset>-105744</wp:posOffset>
            </wp:positionV>
            <wp:extent cx="1661160" cy="2736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Religare</w:t>
      </w:r>
      <w:r>
        <w:rPr>
          <w:spacing w:val="-3"/>
        </w:rPr>
        <w:t xml:space="preserve"> </w:t>
      </w:r>
      <w:r>
        <w:t>Broking</w:t>
      </w:r>
      <w:r>
        <w:rPr>
          <w:spacing w:val="-5"/>
        </w:rPr>
        <w:t xml:space="preserve"> </w:t>
      </w:r>
      <w:r>
        <w:rPr>
          <w:spacing w:val="-4"/>
        </w:rPr>
        <w:t>Ltd.</w:t>
      </w:r>
    </w:p>
    <w:p w14:paraId="47356FC4" w14:textId="4B5C2C77" w:rsidR="004A0416" w:rsidRDefault="00133DBD">
      <w:pPr>
        <w:pStyle w:val="Heading1"/>
      </w:pPr>
      <w:r>
        <w:t>DBL</w:t>
      </w:r>
      <w:r w:rsidR="00223038">
        <w:rPr>
          <w:spacing w:val="-4"/>
        </w:rPr>
        <w:t xml:space="preserve"> </w:t>
      </w:r>
      <w:r w:rsidR="006953FF">
        <w:rPr>
          <w:spacing w:val="-4"/>
        </w:rPr>
        <w:t>EMERALD</w:t>
      </w:r>
      <w:r w:rsidR="007271DA">
        <w:rPr>
          <w:spacing w:val="-4"/>
        </w:rPr>
        <w:t xml:space="preserve"> </w:t>
      </w:r>
      <w:r w:rsidR="00223038">
        <w:t>Plan</w:t>
      </w:r>
      <w:r w:rsidR="00223038">
        <w:rPr>
          <w:spacing w:val="-4"/>
        </w:rPr>
        <w:t xml:space="preserve"> </w:t>
      </w:r>
      <w:r w:rsidR="00223038">
        <w:rPr>
          <w:spacing w:val="-2"/>
        </w:rPr>
        <w:t>Addendum</w:t>
      </w:r>
    </w:p>
    <w:p w14:paraId="680D8359" w14:textId="77777777" w:rsidR="004A0416" w:rsidRDefault="004A0416">
      <w:pPr>
        <w:pStyle w:val="BodyText"/>
        <w:rPr>
          <w:b/>
          <w:sz w:val="20"/>
        </w:rPr>
      </w:pPr>
    </w:p>
    <w:p w14:paraId="6974E2AB" w14:textId="77777777" w:rsidR="004A0416" w:rsidRDefault="004A0416">
      <w:pPr>
        <w:pStyle w:val="BodyText"/>
        <w:rPr>
          <w:b/>
          <w:sz w:val="20"/>
        </w:rPr>
      </w:pPr>
    </w:p>
    <w:p w14:paraId="4428A532" w14:textId="77777777" w:rsidR="004A0416" w:rsidRDefault="004A0416">
      <w:pPr>
        <w:pStyle w:val="BodyText"/>
        <w:rPr>
          <w:b/>
          <w:sz w:val="20"/>
        </w:rPr>
      </w:pPr>
    </w:p>
    <w:p w14:paraId="6656384B" w14:textId="77777777" w:rsidR="004A0416" w:rsidRDefault="004A0416">
      <w:pPr>
        <w:pStyle w:val="BodyText"/>
        <w:rPr>
          <w:b/>
          <w:sz w:val="20"/>
        </w:rPr>
      </w:pPr>
    </w:p>
    <w:p w14:paraId="14BA79E1" w14:textId="77777777" w:rsidR="004A0416" w:rsidRDefault="004A0416">
      <w:pPr>
        <w:pStyle w:val="BodyText"/>
        <w:spacing w:before="3" w:after="1"/>
        <w:rPr>
          <w:b/>
          <w:sz w:val="23"/>
        </w:rPr>
      </w:pPr>
    </w:p>
    <w:tbl>
      <w:tblPr>
        <w:tblW w:w="0" w:type="auto"/>
        <w:tblInd w:w="13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1210"/>
        <w:gridCol w:w="1220"/>
        <w:gridCol w:w="1498"/>
        <w:gridCol w:w="1241"/>
        <w:gridCol w:w="1498"/>
        <w:gridCol w:w="1291"/>
        <w:gridCol w:w="1597"/>
      </w:tblGrid>
      <w:tr w:rsidR="004A0416" w14:paraId="56A9B43A" w14:textId="77777777" w:rsidTr="00223038">
        <w:trPr>
          <w:trHeight w:val="309"/>
        </w:trPr>
        <w:tc>
          <w:tcPr>
            <w:tcW w:w="3657" w:type="dxa"/>
            <w:gridSpan w:val="3"/>
          </w:tcPr>
          <w:p w14:paraId="50E25E0A" w14:textId="77777777" w:rsidR="004A0416" w:rsidRDefault="00223038">
            <w:pPr>
              <w:pStyle w:val="TableParagraph"/>
              <w:spacing w:before="1"/>
              <w:ind w:left="1348" w:right="1309"/>
            </w:pPr>
            <w:r>
              <w:t>Plan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7125" w:type="dxa"/>
            <w:gridSpan w:val="5"/>
          </w:tcPr>
          <w:p w14:paraId="173E9368" w14:textId="4DDF1FA8" w:rsidR="004A0416" w:rsidRPr="007E5747" w:rsidRDefault="00133DBD" w:rsidP="0066581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DBL</w:t>
            </w:r>
            <w:r w:rsidR="007B6E21">
              <w:rPr>
                <w:b/>
              </w:rPr>
              <w:t>-</w:t>
            </w:r>
            <w:r w:rsidR="006953FF">
              <w:rPr>
                <w:b/>
              </w:rPr>
              <w:t>EMERALD</w:t>
            </w:r>
          </w:p>
        </w:tc>
      </w:tr>
      <w:tr w:rsidR="004A0416" w14:paraId="2663D7A3" w14:textId="77777777" w:rsidTr="00223038">
        <w:trPr>
          <w:trHeight w:val="290"/>
        </w:trPr>
        <w:tc>
          <w:tcPr>
            <w:tcW w:w="3657" w:type="dxa"/>
            <w:gridSpan w:val="3"/>
            <w:shd w:val="clear" w:color="auto" w:fill="F1F1F1"/>
          </w:tcPr>
          <w:p w14:paraId="4773FECB" w14:textId="77777777" w:rsidR="004A0416" w:rsidRDefault="00223038">
            <w:pPr>
              <w:pStyle w:val="TableParagraph"/>
              <w:spacing w:before="1"/>
              <w:ind w:left="732"/>
              <w:jc w:val="left"/>
            </w:pPr>
            <w:r>
              <w:t>Account</w:t>
            </w:r>
            <w:r>
              <w:rPr>
                <w:spacing w:val="-6"/>
              </w:rPr>
              <w:t xml:space="preserve"> </w:t>
            </w:r>
            <w:r>
              <w:t>Opening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Charge</w:t>
            </w:r>
          </w:p>
        </w:tc>
        <w:tc>
          <w:tcPr>
            <w:tcW w:w="7125" w:type="dxa"/>
            <w:gridSpan w:val="5"/>
            <w:shd w:val="clear" w:color="auto" w:fill="F1F1F1"/>
          </w:tcPr>
          <w:p w14:paraId="480296E6" w14:textId="77777777" w:rsidR="004A0416" w:rsidRDefault="00223038">
            <w:pPr>
              <w:pStyle w:val="TableParagraph"/>
              <w:spacing w:before="1"/>
              <w:ind w:left="3134" w:right="3097"/>
              <w:rPr>
                <w:b/>
              </w:rPr>
            </w:pPr>
            <w:r>
              <w:rPr>
                <w:b/>
                <w:spacing w:val="-5"/>
              </w:rPr>
              <w:t>Nil</w:t>
            </w:r>
          </w:p>
        </w:tc>
      </w:tr>
      <w:tr w:rsidR="004A0416" w14:paraId="2730A6E1" w14:textId="77777777" w:rsidTr="00223038">
        <w:trPr>
          <w:trHeight w:val="290"/>
        </w:trPr>
        <w:tc>
          <w:tcPr>
            <w:tcW w:w="3657" w:type="dxa"/>
            <w:gridSpan w:val="3"/>
          </w:tcPr>
          <w:p w14:paraId="5F545923" w14:textId="77777777" w:rsidR="004A0416" w:rsidRDefault="00223038">
            <w:pPr>
              <w:pStyle w:val="TableParagraph"/>
              <w:spacing w:line="268" w:lineRule="exact"/>
              <w:ind w:left="948"/>
              <w:jc w:val="left"/>
            </w:pPr>
            <w:r>
              <w:t>Subscription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Charge</w:t>
            </w:r>
          </w:p>
        </w:tc>
        <w:tc>
          <w:tcPr>
            <w:tcW w:w="7125" w:type="dxa"/>
            <w:gridSpan w:val="5"/>
          </w:tcPr>
          <w:p w14:paraId="41EC7426" w14:textId="77777777" w:rsidR="004A0416" w:rsidRDefault="00223038">
            <w:pPr>
              <w:pStyle w:val="TableParagraph"/>
              <w:spacing w:line="268" w:lineRule="exact"/>
              <w:ind w:left="3133" w:right="3097"/>
              <w:rPr>
                <w:b/>
              </w:rPr>
            </w:pPr>
            <w:r>
              <w:rPr>
                <w:b/>
                <w:spacing w:val="-5"/>
              </w:rPr>
              <w:t>Nil</w:t>
            </w:r>
          </w:p>
        </w:tc>
      </w:tr>
      <w:tr w:rsidR="004A0416" w14:paraId="2277EA1A" w14:textId="77777777" w:rsidTr="00223038">
        <w:trPr>
          <w:trHeight w:val="290"/>
        </w:trPr>
        <w:tc>
          <w:tcPr>
            <w:tcW w:w="3657" w:type="dxa"/>
            <w:gridSpan w:val="3"/>
            <w:shd w:val="clear" w:color="auto" w:fill="F1F1F1"/>
          </w:tcPr>
          <w:p w14:paraId="107ECDBF" w14:textId="77777777" w:rsidR="004A0416" w:rsidRDefault="00223038">
            <w:pPr>
              <w:pStyle w:val="TableParagraph"/>
              <w:spacing w:line="268" w:lineRule="exact"/>
              <w:ind w:left="710"/>
              <w:jc w:val="left"/>
            </w:pPr>
            <w:r>
              <w:t>Upfront</w:t>
            </w:r>
            <w:r>
              <w:rPr>
                <w:spacing w:val="-4"/>
              </w:rPr>
              <w:t xml:space="preserve"> </w:t>
            </w:r>
            <w:r>
              <w:t>Margin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Deposit</w:t>
            </w:r>
          </w:p>
        </w:tc>
        <w:tc>
          <w:tcPr>
            <w:tcW w:w="7125" w:type="dxa"/>
            <w:gridSpan w:val="5"/>
            <w:shd w:val="clear" w:color="auto" w:fill="F1F1F1"/>
          </w:tcPr>
          <w:p w14:paraId="6BA7E137" w14:textId="77777777" w:rsidR="004A0416" w:rsidRDefault="00223038">
            <w:pPr>
              <w:pStyle w:val="TableParagraph"/>
              <w:spacing w:line="268" w:lineRule="exact"/>
              <w:ind w:left="1852"/>
              <w:jc w:val="left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opening.</w:t>
            </w:r>
          </w:p>
        </w:tc>
      </w:tr>
      <w:tr w:rsidR="004A0416" w14:paraId="78CDD753" w14:textId="77777777" w:rsidTr="00223038">
        <w:trPr>
          <w:trHeight w:val="290"/>
        </w:trPr>
        <w:tc>
          <w:tcPr>
            <w:tcW w:w="3657" w:type="dxa"/>
            <w:gridSpan w:val="3"/>
          </w:tcPr>
          <w:p w14:paraId="6D5CA94E" w14:textId="77777777" w:rsidR="004A0416" w:rsidRDefault="00223038">
            <w:pPr>
              <w:pStyle w:val="TableParagraph"/>
              <w:spacing w:line="268" w:lineRule="exact"/>
              <w:ind w:left="883"/>
              <w:jc w:val="left"/>
            </w:pPr>
            <w:r>
              <w:t>Free</w:t>
            </w:r>
            <w:r>
              <w:rPr>
                <w:spacing w:val="-5"/>
              </w:rPr>
              <w:t xml:space="preserve"> </w:t>
            </w:r>
            <w:r>
              <w:t>Software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Option</w:t>
            </w:r>
          </w:p>
        </w:tc>
        <w:tc>
          <w:tcPr>
            <w:tcW w:w="7125" w:type="dxa"/>
            <w:gridSpan w:val="5"/>
          </w:tcPr>
          <w:p w14:paraId="16D80894" w14:textId="6C172583" w:rsidR="004A0416" w:rsidRDefault="00223038">
            <w:pPr>
              <w:pStyle w:val="TableParagraph"/>
              <w:spacing w:line="268" w:lineRule="exact"/>
              <w:ind w:left="615"/>
              <w:jc w:val="left"/>
              <w:rPr>
                <w:b/>
              </w:rPr>
            </w:pPr>
            <w:r>
              <w:rPr>
                <w:b/>
              </w:rPr>
              <w:t>Unified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color w:val="0000FF"/>
                <w:u w:val="single" w:color="0000FF"/>
              </w:rPr>
              <w:t>www.religareonline.com</w:t>
            </w:r>
            <w:r>
              <w:rPr>
                <w:b/>
              </w:rPr>
              <w:t>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Mobile</w:t>
            </w:r>
            <w:r>
              <w:rPr>
                <w:b/>
                <w:spacing w:val="-11"/>
              </w:rPr>
              <w:t xml:space="preserve"> </w:t>
            </w:r>
            <w:r w:rsidR="001A2157">
              <w:rPr>
                <w:b/>
              </w:rPr>
              <w:t>App</w:t>
            </w:r>
          </w:p>
        </w:tc>
      </w:tr>
      <w:tr w:rsidR="004A0416" w14:paraId="0B844DF7" w14:textId="77777777" w:rsidTr="00223038">
        <w:trPr>
          <w:trHeight w:val="282"/>
        </w:trPr>
        <w:tc>
          <w:tcPr>
            <w:tcW w:w="2437" w:type="dxa"/>
            <w:gridSpan w:val="2"/>
            <w:shd w:val="clear" w:color="auto" w:fill="F1F1F1"/>
          </w:tcPr>
          <w:p w14:paraId="0BCA88E3" w14:textId="77777777" w:rsidR="004A0416" w:rsidRDefault="00223038">
            <w:pPr>
              <w:pStyle w:val="TableParagraph"/>
              <w:spacing w:line="263" w:lineRule="exact"/>
              <w:ind w:left="922" w:right="913"/>
            </w:pPr>
            <w:r>
              <w:rPr>
                <w:spacing w:val="-2"/>
              </w:rPr>
              <w:t>Equity</w:t>
            </w:r>
          </w:p>
        </w:tc>
        <w:tc>
          <w:tcPr>
            <w:tcW w:w="2718" w:type="dxa"/>
            <w:gridSpan w:val="2"/>
            <w:shd w:val="clear" w:color="auto" w:fill="F1F1F1"/>
          </w:tcPr>
          <w:p w14:paraId="73F21825" w14:textId="77777777" w:rsidR="004A0416" w:rsidRDefault="00223038">
            <w:pPr>
              <w:pStyle w:val="TableParagraph"/>
              <w:spacing w:line="263" w:lineRule="exact"/>
              <w:ind w:left="554"/>
              <w:jc w:val="left"/>
            </w:pPr>
            <w:r>
              <w:t>Equity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Derivatives</w:t>
            </w:r>
          </w:p>
        </w:tc>
        <w:tc>
          <w:tcPr>
            <w:tcW w:w="2739" w:type="dxa"/>
            <w:gridSpan w:val="2"/>
            <w:shd w:val="clear" w:color="auto" w:fill="F1F1F1"/>
          </w:tcPr>
          <w:p w14:paraId="29953FAD" w14:textId="77777777" w:rsidR="004A0416" w:rsidRDefault="00223038">
            <w:pPr>
              <w:pStyle w:val="TableParagraph"/>
              <w:spacing w:line="263" w:lineRule="exact"/>
              <w:ind w:left="954" w:right="946"/>
            </w:pPr>
            <w:r>
              <w:rPr>
                <w:spacing w:val="-2"/>
              </w:rPr>
              <w:t>Currency</w:t>
            </w:r>
          </w:p>
        </w:tc>
        <w:tc>
          <w:tcPr>
            <w:tcW w:w="2888" w:type="dxa"/>
            <w:gridSpan w:val="2"/>
            <w:shd w:val="clear" w:color="auto" w:fill="F1F1F1"/>
          </w:tcPr>
          <w:p w14:paraId="5DB8899E" w14:textId="77777777" w:rsidR="004A0416" w:rsidRDefault="00223038">
            <w:pPr>
              <w:pStyle w:val="TableParagraph"/>
              <w:spacing w:line="263" w:lineRule="exact"/>
              <w:ind w:left="800"/>
              <w:jc w:val="left"/>
            </w:pPr>
            <w:r>
              <w:rPr>
                <w:spacing w:val="-2"/>
              </w:rPr>
              <w:t>Commodities</w:t>
            </w:r>
          </w:p>
        </w:tc>
      </w:tr>
      <w:tr w:rsidR="004A0416" w14:paraId="73E9C456" w14:textId="77777777" w:rsidTr="00223038">
        <w:trPr>
          <w:trHeight w:val="870"/>
        </w:trPr>
        <w:tc>
          <w:tcPr>
            <w:tcW w:w="1227" w:type="dxa"/>
          </w:tcPr>
          <w:p w14:paraId="6DAFAEDB" w14:textId="77777777" w:rsidR="004A0416" w:rsidRDefault="00223038">
            <w:pPr>
              <w:pStyle w:val="TableParagraph"/>
              <w:spacing w:before="1" w:line="256" w:lineRule="auto"/>
              <w:ind w:left="160" w:right="135" w:hanging="13"/>
            </w:pPr>
            <w:r>
              <w:rPr>
                <w:spacing w:val="-2"/>
              </w:rPr>
              <w:t>Delivery Brokerage</w:t>
            </w:r>
          </w:p>
          <w:p w14:paraId="07D3F542" w14:textId="77777777" w:rsidR="004A0416" w:rsidRDefault="00223038">
            <w:pPr>
              <w:pStyle w:val="TableParagraph"/>
              <w:spacing w:before="4"/>
              <w:ind w:left="406" w:right="378"/>
            </w:pPr>
            <w:r>
              <w:rPr>
                <w:spacing w:val="-4"/>
              </w:rPr>
              <w:t>Rate</w:t>
            </w:r>
          </w:p>
        </w:tc>
        <w:tc>
          <w:tcPr>
            <w:tcW w:w="1210" w:type="dxa"/>
          </w:tcPr>
          <w:p w14:paraId="69749574" w14:textId="77777777" w:rsidR="004A0416" w:rsidRDefault="00223038">
            <w:pPr>
              <w:pStyle w:val="TableParagraph"/>
              <w:spacing w:before="1" w:line="256" w:lineRule="auto"/>
              <w:ind w:left="143" w:right="135" w:firstLine="2"/>
            </w:pPr>
            <w:r>
              <w:rPr>
                <w:spacing w:val="-2"/>
              </w:rPr>
              <w:t>Intraday Brokerage</w:t>
            </w:r>
          </w:p>
          <w:p w14:paraId="389670FC" w14:textId="77777777" w:rsidR="004A0416" w:rsidRDefault="00223038">
            <w:pPr>
              <w:pStyle w:val="TableParagraph"/>
              <w:spacing w:before="4"/>
              <w:ind w:left="389" w:right="379"/>
            </w:pPr>
            <w:r>
              <w:rPr>
                <w:spacing w:val="-4"/>
              </w:rPr>
              <w:t>Rate</w:t>
            </w:r>
          </w:p>
        </w:tc>
        <w:tc>
          <w:tcPr>
            <w:tcW w:w="1220" w:type="dxa"/>
          </w:tcPr>
          <w:p w14:paraId="7E795852" w14:textId="77777777" w:rsidR="004A0416" w:rsidRDefault="00223038">
            <w:pPr>
              <w:pStyle w:val="TableParagraph"/>
              <w:spacing w:before="1" w:line="256" w:lineRule="auto"/>
              <w:ind w:left="150" w:right="139" w:hanging="4"/>
            </w:pPr>
            <w:r>
              <w:rPr>
                <w:spacing w:val="-2"/>
              </w:rPr>
              <w:t>Futures Brokerage</w:t>
            </w:r>
          </w:p>
          <w:p w14:paraId="103E4DC2" w14:textId="77777777" w:rsidR="004A0416" w:rsidRDefault="00223038">
            <w:pPr>
              <w:pStyle w:val="TableParagraph"/>
              <w:spacing w:before="4"/>
              <w:ind w:left="418" w:right="360"/>
            </w:pPr>
            <w:r>
              <w:rPr>
                <w:spacing w:val="-4"/>
              </w:rPr>
              <w:t>Rate</w:t>
            </w:r>
          </w:p>
        </w:tc>
        <w:tc>
          <w:tcPr>
            <w:tcW w:w="1498" w:type="dxa"/>
          </w:tcPr>
          <w:p w14:paraId="4139CAA4" w14:textId="77777777" w:rsidR="004A0416" w:rsidRDefault="00223038">
            <w:pPr>
              <w:pStyle w:val="TableParagraph"/>
              <w:spacing w:before="1" w:line="256" w:lineRule="auto"/>
              <w:ind w:left="286" w:right="280" w:firstLine="2"/>
            </w:pPr>
            <w:r>
              <w:rPr>
                <w:spacing w:val="-2"/>
              </w:rPr>
              <w:t>Options Brokerage</w:t>
            </w:r>
          </w:p>
          <w:p w14:paraId="611FD423" w14:textId="77777777" w:rsidR="004A0416" w:rsidRDefault="00223038">
            <w:pPr>
              <w:pStyle w:val="TableParagraph"/>
              <w:spacing w:before="4"/>
              <w:ind w:left="532" w:right="523"/>
            </w:pPr>
            <w:r>
              <w:rPr>
                <w:spacing w:val="-4"/>
              </w:rPr>
              <w:t>Rate</w:t>
            </w:r>
          </w:p>
        </w:tc>
        <w:tc>
          <w:tcPr>
            <w:tcW w:w="1241" w:type="dxa"/>
          </w:tcPr>
          <w:p w14:paraId="1D1A2566" w14:textId="77777777" w:rsidR="004A0416" w:rsidRDefault="00223038">
            <w:pPr>
              <w:pStyle w:val="TableParagraph"/>
              <w:spacing w:before="1" w:line="256" w:lineRule="auto"/>
              <w:ind w:left="162" w:right="148" w:hanging="5"/>
            </w:pPr>
            <w:r>
              <w:rPr>
                <w:spacing w:val="-2"/>
              </w:rPr>
              <w:t>Fu</w:t>
            </w:r>
            <w:hyperlink r:id="rId7">
              <w:r>
                <w:rPr>
                  <w:spacing w:val="-2"/>
                </w:rPr>
                <w:t>tures</w:t>
              </w:r>
            </w:hyperlink>
            <w:r>
              <w:rPr>
                <w:spacing w:val="-2"/>
              </w:rPr>
              <w:t xml:space="preserve"> Brokerage</w:t>
            </w:r>
          </w:p>
          <w:p w14:paraId="0F197600" w14:textId="77777777" w:rsidR="004A0416" w:rsidRDefault="00223038">
            <w:pPr>
              <w:pStyle w:val="TableParagraph"/>
              <w:spacing w:before="4"/>
              <w:ind w:left="429" w:right="370"/>
            </w:pPr>
            <w:r>
              <w:rPr>
                <w:spacing w:val="-4"/>
              </w:rPr>
              <w:t>Rate</w:t>
            </w:r>
          </w:p>
        </w:tc>
        <w:tc>
          <w:tcPr>
            <w:tcW w:w="1498" w:type="dxa"/>
          </w:tcPr>
          <w:p w14:paraId="5ED09D76" w14:textId="77777777" w:rsidR="004A0416" w:rsidRDefault="001A2157">
            <w:pPr>
              <w:pStyle w:val="TableParagraph"/>
              <w:spacing w:before="3" w:line="237" w:lineRule="auto"/>
              <w:ind w:left="286" w:right="280" w:firstLine="2"/>
            </w:pPr>
            <w:hyperlink r:id="rId8">
              <w:r w:rsidR="00223038">
                <w:rPr>
                  <w:spacing w:val="-2"/>
                </w:rPr>
                <w:t>Options</w:t>
              </w:r>
            </w:hyperlink>
            <w:r w:rsidR="00223038">
              <w:rPr>
                <w:spacing w:val="-2"/>
              </w:rPr>
              <w:t xml:space="preserve"> Brokerage </w:t>
            </w:r>
            <w:r w:rsidR="00223038">
              <w:rPr>
                <w:spacing w:val="-4"/>
              </w:rPr>
              <w:t>Rate</w:t>
            </w:r>
          </w:p>
        </w:tc>
        <w:tc>
          <w:tcPr>
            <w:tcW w:w="1291" w:type="dxa"/>
          </w:tcPr>
          <w:p w14:paraId="0435B24E" w14:textId="77777777" w:rsidR="004A0416" w:rsidRDefault="00223038">
            <w:pPr>
              <w:pStyle w:val="TableParagraph"/>
              <w:spacing w:before="1" w:line="256" w:lineRule="auto"/>
              <w:ind w:left="186" w:right="174" w:hanging="5"/>
            </w:pPr>
            <w:r>
              <w:rPr>
                <w:spacing w:val="-2"/>
              </w:rPr>
              <w:t>Futures Brokerage</w:t>
            </w:r>
          </w:p>
          <w:p w14:paraId="1B06062C" w14:textId="77777777" w:rsidR="004A0416" w:rsidRDefault="00223038">
            <w:pPr>
              <w:pStyle w:val="TableParagraph"/>
              <w:spacing w:before="4"/>
              <w:ind w:left="453" w:right="396"/>
            </w:pPr>
            <w:r>
              <w:rPr>
                <w:spacing w:val="-4"/>
              </w:rPr>
              <w:t>Rate</w:t>
            </w:r>
          </w:p>
        </w:tc>
        <w:tc>
          <w:tcPr>
            <w:tcW w:w="1597" w:type="dxa"/>
          </w:tcPr>
          <w:p w14:paraId="5127836D" w14:textId="77777777" w:rsidR="004A0416" w:rsidRDefault="00223038">
            <w:pPr>
              <w:pStyle w:val="TableParagraph"/>
              <w:spacing w:before="3" w:line="237" w:lineRule="auto"/>
              <w:ind w:left="287" w:right="280" w:firstLine="3"/>
            </w:pPr>
            <w:r>
              <w:rPr>
                <w:spacing w:val="-2"/>
              </w:rPr>
              <w:t xml:space="preserve">Options Brokerage </w:t>
            </w:r>
            <w:r>
              <w:rPr>
                <w:spacing w:val="-4"/>
              </w:rPr>
              <w:t>Rate</w:t>
            </w:r>
          </w:p>
        </w:tc>
      </w:tr>
      <w:tr w:rsidR="004A0416" w14:paraId="09FBB5E7" w14:textId="77777777" w:rsidTr="00223038">
        <w:trPr>
          <w:trHeight w:val="405"/>
        </w:trPr>
        <w:tc>
          <w:tcPr>
            <w:tcW w:w="1227" w:type="dxa"/>
            <w:shd w:val="clear" w:color="auto" w:fill="F1F1F1"/>
          </w:tcPr>
          <w:p w14:paraId="6A1E0BFA" w14:textId="61450FB1" w:rsidR="004A0416" w:rsidRDefault="00AD50B5">
            <w:pPr>
              <w:pStyle w:val="TableParagraph"/>
              <w:spacing w:before="2"/>
              <w:ind w:left="26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0.</w:t>
            </w:r>
            <w:r w:rsidR="006953FF">
              <w:rPr>
                <w:b/>
                <w:spacing w:val="-2"/>
                <w:sz w:val="28"/>
              </w:rPr>
              <w:t>20</w:t>
            </w:r>
            <w:r w:rsidR="00223038">
              <w:rPr>
                <w:b/>
                <w:spacing w:val="-2"/>
                <w:sz w:val="28"/>
              </w:rPr>
              <w:t>%</w:t>
            </w:r>
          </w:p>
        </w:tc>
        <w:tc>
          <w:tcPr>
            <w:tcW w:w="1210" w:type="dxa"/>
            <w:shd w:val="clear" w:color="auto" w:fill="F1F1F1"/>
          </w:tcPr>
          <w:p w14:paraId="1DBE7606" w14:textId="13CB5EBD" w:rsidR="004A0416" w:rsidRDefault="00AD50B5">
            <w:pPr>
              <w:pStyle w:val="TableParagraph"/>
              <w:spacing w:before="2"/>
              <w:ind w:left="25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0.0</w:t>
            </w:r>
            <w:r w:rsidR="006953FF">
              <w:rPr>
                <w:b/>
                <w:spacing w:val="-2"/>
                <w:sz w:val="28"/>
              </w:rPr>
              <w:t>20</w:t>
            </w:r>
            <w:r w:rsidR="00223038">
              <w:rPr>
                <w:b/>
                <w:spacing w:val="-2"/>
                <w:sz w:val="28"/>
              </w:rPr>
              <w:t>%</w:t>
            </w:r>
          </w:p>
        </w:tc>
        <w:tc>
          <w:tcPr>
            <w:tcW w:w="1220" w:type="dxa"/>
            <w:shd w:val="clear" w:color="auto" w:fill="F1F1F1"/>
          </w:tcPr>
          <w:p w14:paraId="2EC295DA" w14:textId="02F7FA25" w:rsidR="004A0416" w:rsidRDefault="00AD50B5">
            <w:pPr>
              <w:pStyle w:val="TableParagraph"/>
              <w:spacing w:before="2"/>
              <w:ind w:left="18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0.0</w:t>
            </w:r>
            <w:r w:rsidR="006953FF">
              <w:rPr>
                <w:b/>
                <w:spacing w:val="-2"/>
                <w:sz w:val="28"/>
              </w:rPr>
              <w:t>20</w:t>
            </w:r>
            <w:r w:rsidR="00223038">
              <w:rPr>
                <w:b/>
                <w:spacing w:val="-2"/>
                <w:sz w:val="28"/>
              </w:rPr>
              <w:t>%</w:t>
            </w:r>
          </w:p>
        </w:tc>
        <w:tc>
          <w:tcPr>
            <w:tcW w:w="1498" w:type="dxa"/>
            <w:shd w:val="clear" w:color="auto" w:fill="F1F1F1"/>
          </w:tcPr>
          <w:p w14:paraId="79FBA595" w14:textId="3CA70DA4" w:rsidR="004A0416" w:rsidRDefault="00AD50B5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Rs.</w:t>
            </w:r>
            <w:r w:rsidR="006953FF">
              <w:rPr>
                <w:b/>
                <w:spacing w:val="-2"/>
                <w:sz w:val="28"/>
              </w:rPr>
              <w:t>50</w:t>
            </w:r>
            <w:r w:rsidR="00223038">
              <w:rPr>
                <w:b/>
                <w:spacing w:val="-2"/>
                <w:sz w:val="28"/>
              </w:rPr>
              <w:t>/Lot</w:t>
            </w:r>
          </w:p>
        </w:tc>
        <w:tc>
          <w:tcPr>
            <w:tcW w:w="1241" w:type="dxa"/>
            <w:shd w:val="clear" w:color="auto" w:fill="F1F1F1"/>
          </w:tcPr>
          <w:p w14:paraId="460C39B8" w14:textId="0394DC54" w:rsidR="004A0416" w:rsidRDefault="00AD50B5">
            <w:pPr>
              <w:pStyle w:val="TableParagraph"/>
              <w:spacing w:before="2"/>
              <w:ind w:left="27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0.0</w:t>
            </w:r>
            <w:r w:rsidR="006953FF">
              <w:rPr>
                <w:b/>
                <w:spacing w:val="-2"/>
                <w:sz w:val="28"/>
              </w:rPr>
              <w:t>20</w:t>
            </w:r>
            <w:r w:rsidR="00223038">
              <w:rPr>
                <w:b/>
                <w:spacing w:val="-2"/>
                <w:sz w:val="28"/>
              </w:rPr>
              <w:t>%</w:t>
            </w:r>
          </w:p>
        </w:tc>
        <w:tc>
          <w:tcPr>
            <w:tcW w:w="1498" w:type="dxa"/>
            <w:shd w:val="clear" w:color="auto" w:fill="F1F1F1"/>
          </w:tcPr>
          <w:p w14:paraId="5E0F1398" w14:textId="77777777" w:rsidR="004A0416" w:rsidRDefault="00AD50B5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Rs.1</w:t>
            </w:r>
            <w:r w:rsidR="00223038">
              <w:rPr>
                <w:b/>
                <w:spacing w:val="-2"/>
                <w:sz w:val="28"/>
              </w:rPr>
              <w:t>0/Lot</w:t>
            </w:r>
          </w:p>
        </w:tc>
        <w:tc>
          <w:tcPr>
            <w:tcW w:w="1291" w:type="dxa"/>
            <w:shd w:val="clear" w:color="auto" w:fill="F1F1F1"/>
          </w:tcPr>
          <w:p w14:paraId="036FA090" w14:textId="6162C9E3" w:rsidR="004A0416" w:rsidRDefault="00AD50B5">
            <w:pPr>
              <w:pStyle w:val="TableParagraph"/>
              <w:spacing w:before="2"/>
              <w:ind w:left="30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0.0</w:t>
            </w:r>
            <w:r w:rsidR="006953FF">
              <w:rPr>
                <w:b/>
                <w:spacing w:val="-2"/>
                <w:sz w:val="28"/>
              </w:rPr>
              <w:t>20</w:t>
            </w:r>
            <w:r w:rsidR="00223038">
              <w:rPr>
                <w:b/>
                <w:spacing w:val="-2"/>
                <w:sz w:val="28"/>
              </w:rPr>
              <w:t>%</w:t>
            </w:r>
          </w:p>
        </w:tc>
        <w:tc>
          <w:tcPr>
            <w:tcW w:w="1597" w:type="dxa"/>
            <w:shd w:val="clear" w:color="auto" w:fill="F1F1F1"/>
          </w:tcPr>
          <w:p w14:paraId="6C6F6ED4" w14:textId="77777777" w:rsidR="004A0416" w:rsidRDefault="00223038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Rs.100/Lot</w:t>
            </w:r>
          </w:p>
        </w:tc>
      </w:tr>
    </w:tbl>
    <w:p w14:paraId="187E0E33" w14:textId="77777777" w:rsidR="004A0416" w:rsidRDefault="004A0416">
      <w:pPr>
        <w:pStyle w:val="BodyText"/>
        <w:rPr>
          <w:b/>
          <w:sz w:val="20"/>
        </w:rPr>
      </w:pPr>
    </w:p>
    <w:p w14:paraId="36F3859B" w14:textId="77777777" w:rsidR="004A0416" w:rsidRDefault="004A0416">
      <w:pPr>
        <w:pStyle w:val="BodyText"/>
        <w:spacing w:before="1"/>
        <w:rPr>
          <w:b/>
          <w:sz w:val="16"/>
        </w:rPr>
      </w:pPr>
    </w:p>
    <w:p w14:paraId="3759654C" w14:textId="77777777" w:rsidR="004A0416" w:rsidRDefault="00223038">
      <w:pPr>
        <w:pStyle w:val="BodyText"/>
        <w:spacing w:before="56"/>
        <w:ind w:left="127"/>
      </w:pPr>
      <w:r>
        <w:t>Terms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Conditions:</w:t>
      </w:r>
    </w:p>
    <w:p w14:paraId="7B8FF437" w14:textId="77777777" w:rsidR="004A0416" w:rsidRDefault="004A0416">
      <w:pPr>
        <w:pStyle w:val="BodyText"/>
        <w:spacing w:before="8"/>
        <w:rPr>
          <w:sz w:val="16"/>
        </w:rPr>
      </w:pPr>
    </w:p>
    <w:p w14:paraId="5C98D97D" w14:textId="77777777" w:rsidR="00246E42" w:rsidRDefault="00246E42">
      <w:pPr>
        <w:pStyle w:val="ListParagraph"/>
        <w:numPr>
          <w:ilvl w:val="0"/>
          <w:numId w:val="1"/>
        </w:numPr>
        <w:tabs>
          <w:tab w:val="left" w:pos="412"/>
        </w:tabs>
        <w:ind w:hanging="285"/>
      </w:pPr>
      <w:r>
        <w:t>This pricing will be applicable for the 3 in 1 accounts.</w:t>
      </w:r>
    </w:p>
    <w:p w14:paraId="6EDC85D2" w14:textId="77777777" w:rsidR="004A0416" w:rsidRDefault="00223038">
      <w:pPr>
        <w:pStyle w:val="ListParagraph"/>
        <w:numPr>
          <w:ilvl w:val="0"/>
          <w:numId w:val="1"/>
        </w:numPr>
        <w:tabs>
          <w:tab w:val="left" w:pos="412"/>
        </w:tabs>
        <w:ind w:hanging="285"/>
      </w:pPr>
      <w:r>
        <w:t>The</w:t>
      </w:r>
      <w:r>
        <w:rPr>
          <w:spacing w:val="-4"/>
        </w:rPr>
        <w:t xml:space="preserve"> </w:t>
      </w:r>
      <w:r>
        <w:t>pricing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leg</w:t>
      </w:r>
      <w:r>
        <w:rPr>
          <w:spacing w:val="-3"/>
        </w:rPr>
        <w:t xml:space="preserve"> </w:t>
      </w:r>
      <w:r>
        <w:t>(Buy/Sell)</w:t>
      </w:r>
      <w:r>
        <w:rPr>
          <w:spacing w:val="-3"/>
        </w:rPr>
        <w:t xml:space="preserve"> </w:t>
      </w:r>
      <w:r>
        <w:rPr>
          <w:spacing w:val="-2"/>
        </w:rPr>
        <w:t>separately.</w:t>
      </w:r>
    </w:p>
    <w:p w14:paraId="1D06BB55" w14:textId="77777777" w:rsidR="004A0416" w:rsidRDefault="00223038">
      <w:pPr>
        <w:pStyle w:val="ListParagraph"/>
        <w:numPr>
          <w:ilvl w:val="0"/>
          <w:numId w:val="1"/>
        </w:numPr>
        <w:tabs>
          <w:tab w:val="left" w:pos="412"/>
        </w:tabs>
        <w:spacing w:before="13"/>
        <w:ind w:hanging="285"/>
      </w:pPr>
      <w:r>
        <w:t>The</w:t>
      </w:r>
      <w:r>
        <w:rPr>
          <w:spacing w:val="-6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brokerage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Paisa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share.</w:t>
      </w:r>
    </w:p>
    <w:p w14:paraId="264D710A" w14:textId="77777777" w:rsidR="003C57F9" w:rsidRDefault="00223038" w:rsidP="003C57F9">
      <w:pPr>
        <w:pStyle w:val="ListParagraph"/>
        <w:numPr>
          <w:ilvl w:val="0"/>
          <w:numId w:val="1"/>
        </w:numPr>
        <w:tabs>
          <w:tab w:val="left" w:pos="412"/>
        </w:tabs>
        <w:spacing w:before="10" w:line="249" w:lineRule="auto"/>
        <w:ind w:right="158"/>
      </w:pPr>
      <w:r>
        <w:t>This</w:t>
      </w:r>
      <w:r w:rsidRPr="003C57F9">
        <w:rPr>
          <w:spacing w:val="37"/>
        </w:rPr>
        <w:t xml:space="preserve"> </w:t>
      </w:r>
      <w:r>
        <w:t>pricing</w:t>
      </w:r>
      <w:r w:rsidRPr="003C57F9">
        <w:rPr>
          <w:spacing w:val="37"/>
        </w:rPr>
        <w:t xml:space="preserve"> </w:t>
      </w:r>
      <w:r>
        <w:t>cannot</w:t>
      </w:r>
      <w:r w:rsidRPr="003C57F9">
        <w:rPr>
          <w:spacing w:val="38"/>
        </w:rPr>
        <w:t xml:space="preserve"> </w:t>
      </w:r>
      <w:r>
        <w:t>be</w:t>
      </w:r>
      <w:r w:rsidRPr="003C57F9">
        <w:rPr>
          <w:spacing w:val="36"/>
        </w:rPr>
        <w:t xml:space="preserve"> </w:t>
      </w:r>
      <w:r>
        <w:t>clubbed</w:t>
      </w:r>
      <w:r w:rsidRPr="003C57F9">
        <w:rPr>
          <w:spacing w:val="38"/>
        </w:rPr>
        <w:t xml:space="preserve"> </w:t>
      </w:r>
      <w:r>
        <w:t>or</w:t>
      </w:r>
      <w:r w:rsidRPr="003C57F9">
        <w:rPr>
          <w:spacing w:val="38"/>
        </w:rPr>
        <w:t xml:space="preserve"> </w:t>
      </w:r>
      <w:r>
        <w:t>interchanged</w:t>
      </w:r>
      <w:r w:rsidRPr="003C57F9">
        <w:rPr>
          <w:spacing w:val="35"/>
        </w:rPr>
        <w:t xml:space="preserve"> </w:t>
      </w:r>
      <w:r>
        <w:t>with</w:t>
      </w:r>
      <w:r w:rsidRPr="003C57F9">
        <w:rPr>
          <w:spacing w:val="37"/>
        </w:rPr>
        <w:t xml:space="preserve"> </w:t>
      </w:r>
      <w:r>
        <w:t>any</w:t>
      </w:r>
      <w:r w:rsidRPr="003C57F9">
        <w:rPr>
          <w:spacing w:val="36"/>
        </w:rPr>
        <w:t xml:space="preserve"> </w:t>
      </w:r>
      <w:r>
        <w:t>other</w:t>
      </w:r>
      <w:r w:rsidRPr="003C57F9">
        <w:rPr>
          <w:spacing w:val="38"/>
        </w:rPr>
        <w:t xml:space="preserve"> </w:t>
      </w:r>
      <w:r>
        <w:t>plan</w:t>
      </w:r>
      <w:r w:rsidRPr="003C57F9">
        <w:rPr>
          <w:spacing w:val="34"/>
        </w:rPr>
        <w:t xml:space="preserve"> </w:t>
      </w:r>
      <w:r>
        <w:t>type</w:t>
      </w:r>
      <w:r w:rsidRPr="003C57F9">
        <w:rPr>
          <w:spacing w:val="36"/>
        </w:rPr>
        <w:t xml:space="preserve"> </w:t>
      </w:r>
      <w:r>
        <w:t>and</w:t>
      </w:r>
      <w:r w:rsidRPr="003C57F9">
        <w:rPr>
          <w:spacing w:val="37"/>
        </w:rPr>
        <w:t xml:space="preserve"> </w:t>
      </w:r>
      <w:r>
        <w:t>does</w:t>
      </w:r>
      <w:r w:rsidRPr="003C57F9">
        <w:rPr>
          <w:spacing w:val="38"/>
        </w:rPr>
        <w:t xml:space="preserve"> </w:t>
      </w:r>
      <w:r>
        <w:t>not</w:t>
      </w:r>
      <w:r w:rsidRPr="003C57F9">
        <w:rPr>
          <w:spacing w:val="36"/>
        </w:rPr>
        <w:t xml:space="preserve"> </w:t>
      </w:r>
      <w:r>
        <w:t>allow</w:t>
      </w:r>
      <w:r w:rsidRPr="003C57F9">
        <w:rPr>
          <w:spacing w:val="38"/>
        </w:rPr>
        <w:t xml:space="preserve"> </w:t>
      </w:r>
      <w:r>
        <w:t>any</w:t>
      </w:r>
      <w:r w:rsidRPr="003C57F9">
        <w:rPr>
          <w:spacing w:val="36"/>
        </w:rPr>
        <w:t xml:space="preserve"> </w:t>
      </w:r>
      <w:r>
        <w:t>discount</w:t>
      </w:r>
      <w:r w:rsidRPr="003C57F9">
        <w:rPr>
          <w:spacing w:val="36"/>
        </w:rPr>
        <w:t xml:space="preserve"> </w:t>
      </w:r>
      <w:r>
        <w:t>on brokerage plans.</w:t>
      </w:r>
      <w:r w:rsidR="003C57F9">
        <w:t xml:space="preserve"> </w:t>
      </w:r>
    </w:p>
    <w:p w14:paraId="03F65937" w14:textId="77777777" w:rsidR="00281F22" w:rsidRPr="00281F22" w:rsidRDefault="00563085" w:rsidP="00281F22">
      <w:pPr>
        <w:pStyle w:val="Default"/>
        <w:numPr>
          <w:ilvl w:val="0"/>
          <w:numId w:val="1"/>
        </w:numPr>
      </w:pPr>
      <w:r>
        <w:rPr>
          <w:sz w:val="20"/>
          <w:szCs w:val="20"/>
        </w:rPr>
        <w:t>Delay Payment charges</w:t>
      </w:r>
      <w:r w:rsidR="003C57F9" w:rsidRPr="00281F22">
        <w:rPr>
          <w:sz w:val="20"/>
          <w:szCs w:val="20"/>
        </w:rPr>
        <w:t xml:space="preserve"> will be 0.057% per day charged monthly. </w:t>
      </w:r>
      <w:r w:rsidR="00281F22" w:rsidRPr="00281F22">
        <w:t xml:space="preserve"> </w:t>
      </w:r>
    </w:p>
    <w:p w14:paraId="1CC93886" w14:textId="77777777" w:rsidR="00281F22" w:rsidRPr="00281F22" w:rsidRDefault="00281F22" w:rsidP="00281F22">
      <w:pPr>
        <w:pStyle w:val="ListParagraph"/>
        <w:widowControl/>
        <w:numPr>
          <w:ilvl w:val="0"/>
          <w:numId w:val="1"/>
        </w:numPr>
        <w:adjustRightInd w:val="0"/>
        <w:rPr>
          <w:rFonts w:eastAsiaTheme="minorHAnsi"/>
          <w:color w:val="000000"/>
          <w:lang w:val="en-IN"/>
        </w:rPr>
      </w:pPr>
      <w:r w:rsidRPr="00281F22">
        <w:rPr>
          <w:rFonts w:eastAsiaTheme="minorHAnsi"/>
          <w:color w:val="000000"/>
          <w:lang w:val="en-IN"/>
        </w:rPr>
        <w:t>For offline executed orders administration charge will be Rs.20 (maximum Rs.100 per day/per segment)</w:t>
      </w:r>
      <w:proofErr w:type="gramStart"/>
      <w:r w:rsidRPr="00281F22">
        <w:rPr>
          <w:rFonts w:eastAsiaTheme="minorHAnsi"/>
          <w:color w:val="000000"/>
          <w:lang w:val="en-IN"/>
        </w:rPr>
        <w:t>.*</w:t>
      </w:r>
      <w:proofErr w:type="gramEnd"/>
      <w:r w:rsidRPr="00281F22">
        <w:rPr>
          <w:rFonts w:eastAsiaTheme="minorHAnsi"/>
          <w:color w:val="000000"/>
          <w:lang w:val="en-IN"/>
        </w:rPr>
        <w:t xml:space="preserve">* </w:t>
      </w:r>
    </w:p>
    <w:p w14:paraId="6E8A203A" w14:textId="77777777" w:rsidR="00281F22" w:rsidRPr="00281F22" w:rsidRDefault="00281F22" w:rsidP="00281F22">
      <w:pPr>
        <w:pStyle w:val="ListParagraph"/>
        <w:widowControl/>
        <w:numPr>
          <w:ilvl w:val="0"/>
          <w:numId w:val="1"/>
        </w:numPr>
        <w:adjustRightInd w:val="0"/>
        <w:rPr>
          <w:rFonts w:eastAsiaTheme="minorHAnsi"/>
          <w:color w:val="000000"/>
          <w:lang w:val="en-IN"/>
        </w:rPr>
      </w:pPr>
      <w:r w:rsidRPr="00281F22">
        <w:rPr>
          <w:rFonts w:eastAsiaTheme="minorHAnsi"/>
          <w:color w:val="000000"/>
          <w:lang w:val="en-IN"/>
        </w:rPr>
        <w:t xml:space="preserve">Liquidation charges- For all forced liquidation executed orders will be Rs. 20.** </w:t>
      </w:r>
    </w:p>
    <w:p w14:paraId="44035013" w14:textId="77777777" w:rsidR="004A0416" w:rsidRDefault="00223038">
      <w:pPr>
        <w:pStyle w:val="ListParagraph"/>
        <w:numPr>
          <w:ilvl w:val="0"/>
          <w:numId w:val="1"/>
        </w:numPr>
        <w:tabs>
          <w:tab w:val="left" w:pos="412"/>
        </w:tabs>
        <w:ind w:hanging="285"/>
      </w:pPr>
      <w:r>
        <w:t>Taxes,</w:t>
      </w:r>
      <w:r>
        <w:rPr>
          <w:spacing w:val="-7"/>
        </w:rPr>
        <w:t xml:space="preserve"> </w:t>
      </w:r>
      <w:r>
        <w:t>duties,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levied</w:t>
      </w:r>
      <w:r>
        <w:rPr>
          <w:spacing w:val="-2"/>
        </w:rPr>
        <w:t xml:space="preserve"> </w:t>
      </w:r>
      <w:r>
        <w:t>apart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brokerage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14:paraId="4E23BE3F" w14:textId="4F070B73" w:rsidR="004A0416" w:rsidRDefault="00223038">
      <w:pPr>
        <w:pStyle w:val="ListParagraph"/>
        <w:numPr>
          <w:ilvl w:val="0"/>
          <w:numId w:val="1"/>
        </w:numPr>
        <w:tabs>
          <w:tab w:val="left" w:pos="412"/>
        </w:tabs>
        <w:spacing w:before="12"/>
        <w:ind w:hanging="285"/>
      </w:pPr>
      <w:r>
        <w:t>Free</w:t>
      </w:r>
      <w:r>
        <w:rPr>
          <w:spacing w:val="-4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Recommendation</w:t>
      </w:r>
      <w:r>
        <w:rPr>
          <w:spacing w:val="-4"/>
        </w:rPr>
        <w:t xml:space="preserve"> </w:t>
      </w:r>
      <w:r>
        <w:t>notifications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rPr>
          <w:spacing w:val="-4"/>
        </w:rPr>
        <w:t>app.</w:t>
      </w:r>
    </w:p>
    <w:p w14:paraId="4C464C74" w14:textId="77777777" w:rsidR="004A0416" w:rsidRDefault="00223038">
      <w:pPr>
        <w:pStyle w:val="ListParagraph"/>
        <w:numPr>
          <w:ilvl w:val="0"/>
          <w:numId w:val="1"/>
        </w:numPr>
        <w:tabs>
          <w:tab w:val="left" w:pos="412"/>
        </w:tabs>
        <w:spacing w:before="10" w:line="249" w:lineRule="auto"/>
        <w:ind w:right="156"/>
        <w:jc w:val="both"/>
      </w:pPr>
      <w:r>
        <w:t>Religare</w:t>
      </w:r>
      <w:r>
        <w:rPr>
          <w:spacing w:val="-6"/>
        </w:rPr>
        <w:t xml:space="preserve"> </w:t>
      </w:r>
      <w:r>
        <w:t>Broking</w:t>
      </w:r>
      <w:r>
        <w:rPr>
          <w:spacing w:val="-9"/>
        </w:rPr>
        <w:t xml:space="preserve"> </w:t>
      </w:r>
      <w:r>
        <w:t>Ltd.</w:t>
      </w:r>
      <w:r>
        <w:rPr>
          <w:spacing w:val="-5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modify,</w:t>
      </w:r>
      <w:r>
        <w:rPr>
          <w:spacing w:val="-5"/>
        </w:rPr>
        <w:t xml:space="preserve"> </w:t>
      </w:r>
      <w:r>
        <w:t>alter,</w:t>
      </w:r>
      <w:r>
        <w:rPr>
          <w:spacing w:val="-5"/>
        </w:rPr>
        <w:t xml:space="preserve"> </w:t>
      </w:r>
      <w:r>
        <w:t>amend,</w:t>
      </w:r>
      <w:r>
        <w:rPr>
          <w:spacing w:val="-5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delete</w:t>
      </w:r>
      <w:r>
        <w:rPr>
          <w:spacing w:val="-5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whole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plan; due information will be shared with clients who opted this plan as per compliance/regulation.</w:t>
      </w:r>
    </w:p>
    <w:p w14:paraId="3FEFE89D" w14:textId="77777777" w:rsidR="004A0416" w:rsidRDefault="00223038" w:rsidP="00281F22">
      <w:pPr>
        <w:pStyle w:val="ListParagraph"/>
        <w:numPr>
          <w:ilvl w:val="0"/>
          <w:numId w:val="1"/>
        </w:numPr>
        <w:tabs>
          <w:tab w:val="left" w:pos="412"/>
        </w:tabs>
        <w:spacing w:line="249" w:lineRule="auto"/>
        <w:ind w:right="156"/>
        <w:jc w:val="both"/>
      </w:pPr>
      <w:r>
        <w:t>Disputes, if any, will be settled under the exclusive jurisdiction of Civil Courts in Mumbai where the exchange has been made a party, and in all other matters, proper courts within the area covered under the Regional</w:t>
      </w:r>
      <w:r w:rsidR="00281F22">
        <w:t xml:space="preserve"> </w:t>
      </w:r>
      <w:r>
        <w:t>Arbitration Centre shall have jurisdiction in respect of the arbitration proceedings falling under or conducted in that Regional Arbitration Centre.</w:t>
      </w:r>
    </w:p>
    <w:p w14:paraId="71BBAD24" w14:textId="77777777" w:rsidR="00281F22" w:rsidRPr="00281F22" w:rsidRDefault="00281F22" w:rsidP="00281F22">
      <w:pPr>
        <w:pStyle w:val="ListParagraph"/>
        <w:widowControl/>
        <w:adjustRightInd w:val="0"/>
        <w:ind w:firstLine="0"/>
        <w:rPr>
          <w:rFonts w:eastAsiaTheme="minorHAnsi"/>
          <w:color w:val="000000"/>
          <w:sz w:val="24"/>
          <w:szCs w:val="24"/>
          <w:lang w:val="en-IN"/>
        </w:rPr>
      </w:pPr>
    </w:p>
    <w:p w14:paraId="47EE43AD" w14:textId="77777777" w:rsidR="004A0416" w:rsidRDefault="00281F22" w:rsidP="00281F22">
      <w:pPr>
        <w:pStyle w:val="BodyText"/>
      </w:pPr>
      <w:r w:rsidRPr="00281F22">
        <w:rPr>
          <w:rFonts w:eastAsiaTheme="minorHAnsi"/>
          <w:color w:val="000000"/>
          <w:sz w:val="24"/>
          <w:szCs w:val="24"/>
          <w:lang w:val="en-IN"/>
        </w:rPr>
        <w:t xml:space="preserve"> </w:t>
      </w:r>
      <w:r w:rsidR="00246E42" w:rsidRPr="00133DBD">
        <w:rPr>
          <w:rFonts w:eastAsiaTheme="minorHAnsi"/>
          <w:color w:val="000000"/>
          <w:lang w:val="en-IN"/>
        </w:rPr>
        <w:t xml:space="preserve">** </w:t>
      </w:r>
      <w:r w:rsidRPr="00133DBD">
        <w:rPr>
          <w:rFonts w:eastAsiaTheme="minorHAnsi"/>
          <w:color w:val="000000"/>
          <w:lang w:val="en-IN"/>
        </w:rPr>
        <w:t>Charges are subject to regulatory recommendations. Charges are reconciled on monthly basis; extra charge if any will be refunded without any request from the client.</w:t>
      </w:r>
    </w:p>
    <w:p w14:paraId="1AA71898" w14:textId="77777777" w:rsidR="004A0416" w:rsidRDefault="004A0416">
      <w:pPr>
        <w:pStyle w:val="BodyText"/>
      </w:pPr>
    </w:p>
    <w:p w14:paraId="17674368" w14:textId="77777777" w:rsidR="004A0416" w:rsidRDefault="004A0416">
      <w:pPr>
        <w:pStyle w:val="BodyText"/>
        <w:spacing w:before="6"/>
        <w:rPr>
          <w:sz w:val="16"/>
        </w:rPr>
      </w:pPr>
    </w:p>
    <w:p w14:paraId="6F91AB7E" w14:textId="145FE796" w:rsidR="004A0416" w:rsidRDefault="007E5747">
      <w:pPr>
        <w:pStyle w:val="BodyText"/>
        <w:spacing w:line="249" w:lineRule="auto"/>
        <w:ind w:left="127"/>
      </w:pPr>
      <w:r>
        <w:t>I</w:t>
      </w:r>
      <w:r w:rsidR="00223038">
        <w:t xml:space="preserve"> have</w:t>
      </w:r>
      <w:r w:rsidR="00223038">
        <w:rPr>
          <w:spacing w:val="-1"/>
        </w:rPr>
        <w:t xml:space="preserve"> </w:t>
      </w:r>
      <w:r w:rsidR="00223038">
        <w:t>understood</w:t>
      </w:r>
      <w:r w:rsidR="00223038">
        <w:rPr>
          <w:spacing w:val="-2"/>
        </w:rPr>
        <w:t xml:space="preserve"> </w:t>
      </w:r>
      <w:r w:rsidR="00223038">
        <w:t>the</w:t>
      </w:r>
      <w:r w:rsidR="00223038">
        <w:rPr>
          <w:spacing w:val="-4"/>
        </w:rPr>
        <w:t xml:space="preserve"> </w:t>
      </w:r>
      <w:r w:rsidR="00223038">
        <w:t>plan details</w:t>
      </w:r>
      <w:r w:rsidR="00223038">
        <w:rPr>
          <w:spacing w:val="-1"/>
        </w:rPr>
        <w:t xml:space="preserve"> </w:t>
      </w:r>
      <w:r w:rsidR="00223038">
        <w:t>as</w:t>
      </w:r>
      <w:r w:rsidR="00223038">
        <w:rPr>
          <w:spacing w:val="-1"/>
        </w:rPr>
        <w:t xml:space="preserve"> </w:t>
      </w:r>
      <w:r w:rsidR="00223038">
        <w:t>given above and agree to abide</w:t>
      </w:r>
      <w:r w:rsidR="00223038">
        <w:rPr>
          <w:spacing w:val="-1"/>
        </w:rPr>
        <w:t xml:space="preserve"> </w:t>
      </w:r>
      <w:r w:rsidR="00223038">
        <w:t>by the</w:t>
      </w:r>
      <w:r w:rsidR="00223038">
        <w:rPr>
          <w:spacing w:val="-1"/>
        </w:rPr>
        <w:t xml:space="preserve"> </w:t>
      </w:r>
      <w:r w:rsidR="00223038">
        <w:t>same.</w:t>
      </w:r>
      <w:r w:rsidR="00223038">
        <w:rPr>
          <w:spacing w:val="-1"/>
        </w:rPr>
        <w:t xml:space="preserve"> </w:t>
      </w:r>
      <w:r>
        <w:t>I</w:t>
      </w:r>
      <w:r w:rsidR="00223038">
        <w:t xml:space="preserve"> wish</w:t>
      </w:r>
      <w:r w:rsidR="00223038">
        <w:rPr>
          <w:spacing w:val="-2"/>
        </w:rPr>
        <w:t xml:space="preserve"> </w:t>
      </w:r>
      <w:r w:rsidR="00223038">
        <w:t xml:space="preserve">to subscribe to the </w:t>
      </w:r>
      <w:r w:rsidR="00133DBD">
        <w:t>DBL</w:t>
      </w:r>
      <w:r w:rsidR="007271DA">
        <w:t xml:space="preserve"> </w:t>
      </w:r>
      <w:r w:rsidR="001A2157">
        <w:t>Emerald</w:t>
      </w:r>
      <w:bookmarkStart w:id="0" w:name="_GoBack"/>
      <w:bookmarkEnd w:id="0"/>
      <w:r w:rsidR="00223038">
        <w:t xml:space="preserve"> Plan offered by you.</w:t>
      </w:r>
    </w:p>
    <w:p w14:paraId="426D0240" w14:textId="77777777" w:rsidR="004A0416" w:rsidRDefault="004A0416">
      <w:pPr>
        <w:pStyle w:val="BodyText"/>
        <w:rPr>
          <w:sz w:val="20"/>
        </w:rPr>
      </w:pPr>
    </w:p>
    <w:p w14:paraId="6AFC264B" w14:textId="77777777" w:rsidR="004A0416" w:rsidRDefault="004A0416">
      <w:pPr>
        <w:pStyle w:val="BodyText"/>
        <w:rPr>
          <w:sz w:val="20"/>
        </w:rPr>
      </w:pPr>
    </w:p>
    <w:p w14:paraId="6655EB4D" w14:textId="77777777" w:rsidR="004A0416" w:rsidRDefault="004A0416">
      <w:pPr>
        <w:pStyle w:val="BodyText"/>
        <w:rPr>
          <w:sz w:val="20"/>
        </w:rPr>
      </w:pPr>
    </w:p>
    <w:p w14:paraId="0930E415" w14:textId="77777777" w:rsidR="004A0416" w:rsidRDefault="004A0416">
      <w:pPr>
        <w:pStyle w:val="BodyText"/>
        <w:rPr>
          <w:sz w:val="20"/>
        </w:rPr>
      </w:pPr>
    </w:p>
    <w:p w14:paraId="33AABDD1" w14:textId="77777777" w:rsidR="004A0416" w:rsidRDefault="004A0416">
      <w:pPr>
        <w:pStyle w:val="BodyText"/>
        <w:rPr>
          <w:sz w:val="20"/>
        </w:rPr>
      </w:pPr>
    </w:p>
    <w:p w14:paraId="3840B9A4" w14:textId="77777777" w:rsidR="004A0416" w:rsidRDefault="004A0416">
      <w:pPr>
        <w:pStyle w:val="BodyText"/>
        <w:rPr>
          <w:sz w:val="20"/>
        </w:rPr>
      </w:pPr>
    </w:p>
    <w:p w14:paraId="261EA3B1" w14:textId="77777777" w:rsidR="004A0416" w:rsidRDefault="004A0416">
      <w:pPr>
        <w:pStyle w:val="BodyText"/>
        <w:rPr>
          <w:sz w:val="20"/>
        </w:rPr>
      </w:pPr>
    </w:p>
    <w:p w14:paraId="007A9259" w14:textId="77777777" w:rsidR="004A0416" w:rsidRDefault="004A0416">
      <w:pPr>
        <w:pStyle w:val="BodyText"/>
        <w:rPr>
          <w:sz w:val="20"/>
        </w:rPr>
      </w:pPr>
    </w:p>
    <w:p w14:paraId="794D1A06" w14:textId="77777777" w:rsidR="004A0416" w:rsidRDefault="004A0416">
      <w:pPr>
        <w:pStyle w:val="BodyText"/>
        <w:rPr>
          <w:sz w:val="20"/>
        </w:rPr>
      </w:pPr>
    </w:p>
    <w:p w14:paraId="1DEC5324" w14:textId="77777777" w:rsidR="004A0416" w:rsidRDefault="004A0416">
      <w:pPr>
        <w:pStyle w:val="BodyText"/>
        <w:spacing w:before="9"/>
        <w:rPr>
          <w:sz w:val="15"/>
        </w:rPr>
      </w:pPr>
    </w:p>
    <w:p w14:paraId="0E3E4DF2" w14:textId="77777777" w:rsidR="004A0416" w:rsidRDefault="00223038">
      <w:pPr>
        <w:spacing w:before="56"/>
        <w:ind w:left="127"/>
      </w:pPr>
      <w:r>
        <w:rPr>
          <w:spacing w:val="-2"/>
        </w:rPr>
        <w:t>…………………………………………………………….</w:t>
      </w:r>
    </w:p>
    <w:p w14:paraId="0740E36E" w14:textId="77777777" w:rsidR="004A0416" w:rsidRDefault="00223038">
      <w:pPr>
        <w:pStyle w:val="Heading1"/>
        <w:spacing w:before="22"/>
        <w:ind w:left="127"/>
        <w:rPr>
          <w:b w:val="0"/>
        </w:rPr>
      </w:pPr>
      <w:r>
        <w:rPr>
          <w:b w:val="0"/>
        </w:rPr>
        <w:t>(</w:t>
      </w:r>
      <w:r>
        <w:t>Client</w:t>
      </w:r>
      <w:r>
        <w:rPr>
          <w:spacing w:val="-4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Seal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applicable</w:t>
      </w:r>
      <w:r>
        <w:rPr>
          <w:b w:val="0"/>
          <w:spacing w:val="-2"/>
        </w:rPr>
        <w:t>)</w:t>
      </w:r>
    </w:p>
    <w:p w14:paraId="5F61B45F" w14:textId="77777777" w:rsidR="004A0416" w:rsidRDefault="00223038">
      <w:pPr>
        <w:spacing w:before="41"/>
        <w:ind w:left="9999"/>
        <w:rPr>
          <w:sz w:val="20"/>
        </w:rPr>
      </w:pPr>
      <w:r>
        <w:rPr>
          <w:sz w:val="20"/>
        </w:rPr>
        <w:t>Version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4A0416">
      <w:type w:val="continuous"/>
      <w:pgSz w:w="11930" w:h="16850"/>
      <w:pgMar w:top="940" w:right="42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FE8CF"/>
    <w:multiLevelType w:val="hybridMultilevel"/>
    <w:tmpl w:val="006AEF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1E1B52A"/>
    <w:multiLevelType w:val="hybridMultilevel"/>
    <w:tmpl w:val="876A5A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08E402B"/>
    <w:multiLevelType w:val="hybridMultilevel"/>
    <w:tmpl w:val="F6548FE0"/>
    <w:lvl w:ilvl="0" w:tplc="0A2A3BF2">
      <w:numFmt w:val="bullet"/>
      <w:lvlText w:val=""/>
      <w:lvlJc w:val="left"/>
      <w:pPr>
        <w:ind w:left="41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EA27CF0">
      <w:numFmt w:val="bullet"/>
      <w:lvlText w:val="•"/>
      <w:lvlJc w:val="left"/>
      <w:pPr>
        <w:ind w:left="1470" w:hanging="284"/>
      </w:pPr>
      <w:rPr>
        <w:rFonts w:hint="default"/>
        <w:lang w:val="en-US" w:eastAsia="en-US" w:bidi="ar-SA"/>
      </w:rPr>
    </w:lvl>
    <w:lvl w:ilvl="2" w:tplc="A12CBC42">
      <w:numFmt w:val="bullet"/>
      <w:lvlText w:val="•"/>
      <w:lvlJc w:val="left"/>
      <w:pPr>
        <w:ind w:left="2520" w:hanging="284"/>
      </w:pPr>
      <w:rPr>
        <w:rFonts w:hint="default"/>
        <w:lang w:val="en-US" w:eastAsia="en-US" w:bidi="ar-SA"/>
      </w:rPr>
    </w:lvl>
    <w:lvl w:ilvl="3" w:tplc="B358CB8A">
      <w:numFmt w:val="bullet"/>
      <w:lvlText w:val="•"/>
      <w:lvlJc w:val="left"/>
      <w:pPr>
        <w:ind w:left="3570" w:hanging="284"/>
      </w:pPr>
      <w:rPr>
        <w:rFonts w:hint="default"/>
        <w:lang w:val="en-US" w:eastAsia="en-US" w:bidi="ar-SA"/>
      </w:rPr>
    </w:lvl>
    <w:lvl w:ilvl="4" w:tplc="215AF604">
      <w:numFmt w:val="bullet"/>
      <w:lvlText w:val="•"/>
      <w:lvlJc w:val="left"/>
      <w:pPr>
        <w:ind w:left="4620" w:hanging="284"/>
      </w:pPr>
      <w:rPr>
        <w:rFonts w:hint="default"/>
        <w:lang w:val="en-US" w:eastAsia="en-US" w:bidi="ar-SA"/>
      </w:rPr>
    </w:lvl>
    <w:lvl w:ilvl="5" w:tplc="9094EE80">
      <w:numFmt w:val="bullet"/>
      <w:lvlText w:val="•"/>
      <w:lvlJc w:val="left"/>
      <w:pPr>
        <w:ind w:left="5670" w:hanging="284"/>
      </w:pPr>
      <w:rPr>
        <w:rFonts w:hint="default"/>
        <w:lang w:val="en-US" w:eastAsia="en-US" w:bidi="ar-SA"/>
      </w:rPr>
    </w:lvl>
    <w:lvl w:ilvl="6" w:tplc="2B6C26DA">
      <w:numFmt w:val="bullet"/>
      <w:lvlText w:val="•"/>
      <w:lvlJc w:val="left"/>
      <w:pPr>
        <w:ind w:left="6720" w:hanging="284"/>
      </w:pPr>
      <w:rPr>
        <w:rFonts w:hint="default"/>
        <w:lang w:val="en-US" w:eastAsia="en-US" w:bidi="ar-SA"/>
      </w:rPr>
    </w:lvl>
    <w:lvl w:ilvl="7" w:tplc="C5865B8C">
      <w:numFmt w:val="bullet"/>
      <w:lvlText w:val="•"/>
      <w:lvlJc w:val="left"/>
      <w:pPr>
        <w:ind w:left="7770" w:hanging="284"/>
      </w:pPr>
      <w:rPr>
        <w:rFonts w:hint="default"/>
        <w:lang w:val="en-US" w:eastAsia="en-US" w:bidi="ar-SA"/>
      </w:rPr>
    </w:lvl>
    <w:lvl w:ilvl="8" w:tplc="858A77FE">
      <w:numFmt w:val="bullet"/>
      <w:lvlText w:val="•"/>
      <w:lvlJc w:val="left"/>
      <w:pPr>
        <w:ind w:left="8820" w:hanging="2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0416"/>
    <w:rsid w:val="00133DBD"/>
    <w:rsid w:val="001A2157"/>
    <w:rsid w:val="00223038"/>
    <w:rsid w:val="00246E42"/>
    <w:rsid w:val="00281F22"/>
    <w:rsid w:val="003C57F9"/>
    <w:rsid w:val="004A0416"/>
    <w:rsid w:val="00563085"/>
    <w:rsid w:val="0066581D"/>
    <w:rsid w:val="006953FF"/>
    <w:rsid w:val="007271DA"/>
    <w:rsid w:val="007B6E21"/>
    <w:rsid w:val="007E5747"/>
    <w:rsid w:val="00AD50B5"/>
    <w:rsid w:val="00BA7D9B"/>
    <w:rsid w:val="00E96CB6"/>
    <w:rsid w:val="00F45966"/>
    <w:rsid w:val="00F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B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0"/>
      <w:ind w:left="1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411" w:hanging="285"/>
    </w:pPr>
  </w:style>
  <w:style w:type="paragraph" w:customStyle="1" w:styleId="TableParagraph">
    <w:name w:val="Table Paragraph"/>
    <w:basedOn w:val="Normal"/>
    <w:uiPriority w:val="1"/>
    <w:qFormat/>
    <w:pPr>
      <w:ind w:left="272"/>
      <w:jc w:val="center"/>
    </w:pPr>
  </w:style>
  <w:style w:type="paragraph" w:customStyle="1" w:styleId="Default">
    <w:name w:val="Default"/>
    <w:rsid w:val="003C57F9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0"/>
      <w:ind w:left="1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411" w:hanging="285"/>
    </w:pPr>
  </w:style>
  <w:style w:type="paragraph" w:customStyle="1" w:styleId="TableParagraph">
    <w:name w:val="Table Paragraph"/>
    <w:basedOn w:val="Normal"/>
    <w:uiPriority w:val="1"/>
    <w:qFormat/>
    <w:pPr>
      <w:ind w:left="272"/>
      <w:jc w:val="center"/>
    </w:pPr>
  </w:style>
  <w:style w:type="paragraph" w:customStyle="1" w:styleId="Default">
    <w:name w:val="Default"/>
    <w:rsid w:val="003C57F9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igareonlin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ligare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Dayaram Jawake</dc:creator>
  <cp:lastModifiedBy>Aaina Chhabra</cp:lastModifiedBy>
  <cp:revision>20</cp:revision>
  <dcterms:created xsi:type="dcterms:W3CDTF">2023-02-09T13:28:00Z</dcterms:created>
  <dcterms:modified xsi:type="dcterms:W3CDTF">2023-10-09T13:01:00Z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2023-02-09T00:00:00Z</vt:filetime>
  </property>
  <property fmtid="{D5CDD505-2E9C-101B-9397-08002B2CF9AE}" pid="5" name="Producer">
    <vt:lpwstr>Microsoft® Word 2019</vt:lpwstr>
  </property>
</Properties>
</file>